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DB36" w14:textId="7E23CEF1" w:rsidR="003A7A8F" w:rsidRPr="00152341" w:rsidRDefault="00FF69C1" w:rsidP="003A7A8F">
      <w:pPr>
        <w:rPr>
          <w:b/>
          <w:sz w:val="32"/>
          <w:szCs w:val="32"/>
        </w:rPr>
      </w:pPr>
      <w:r w:rsidRPr="007E542F">
        <w:rPr>
          <w:b/>
          <w:sz w:val="40"/>
          <w:szCs w:val="40"/>
        </w:rPr>
        <w:t xml:space="preserve">               </w:t>
      </w:r>
      <w:r w:rsidR="007E542F" w:rsidRPr="00152341">
        <w:rPr>
          <w:b/>
          <w:sz w:val="32"/>
          <w:szCs w:val="32"/>
        </w:rPr>
        <w:t>MSD</w:t>
      </w:r>
      <w:r w:rsidR="00D07787" w:rsidRPr="00152341">
        <w:rPr>
          <w:b/>
          <w:sz w:val="32"/>
          <w:szCs w:val="32"/>
        </w:rPr>
        <w:t xml:space="preserve"> </w:t>
      </w:r>
      <w:r w:rsidR="00152341" w:rsidRPr="00152341">
        <w:rPr>
          <w:b/>
          <w:sz w:val="32"/>
          <w:szCs w:val="32"/>
        </w:rPr>
        <w:t>Action Foundation</w:t>
      </w:r>
      <w:r w:rsidR="00D07787" w:rsidRPr="00152341">
        <w:rPr>
          <w:b/>
          <w:sz w:val="32"/>
          <w:szCs w:val="32"/>
        </w:rPr>
        <w:t xml:space="preserve"> </w:t>
      </w:r>
      <w:r w:rsidR="007E542F" w:rsidRPr="00152341">
        <w:rPr>
          <w:b/>
          <w:sz w:val="32"/>
          <w:szCs w:val="32"/>
        </w:rPr>
        <w:t xml:space="preserve">Research </w:t>
      </w:r>
      <w:r w:rsidR="003A7A8F" w:rsidRPr="00152341">
        <w:rPr>
          <w:b/>
          <w:sz w:val="32"/>
          <w:szCs w:val="32"/>
        </w:rPr>
        <w:t>Strategy</w:t>
      </w:r>
      <w:r w:rsidR="00152341">
        <w:rPr>
          <w:b/>
          <w:sz w:val="32"/>
          <w:szCs w:val="32"/>
        </w:rPr>
        <w:t xml:space="preserve"> 20</w:t>
      </w:r>
      <w:r w:rsidR="004E0105">
        <w:rPr>
          <w:b/>
          <w:sz w:val="32"/>
          <w:szCs w:val="32"/>
        </w:rPr>
        <w:t>21</w:t>
      </w:r>
    </w:p>
    <w:p w14:paraId="247DA360" w14:textId="193E57E3" w:rsidR="003A7A8F" w:rsidRDefault="003A7A8F" w:rsidP="003A7A8F">
      <w:r>
        <w:t>As a rare condition, Multiple Sulfatase Deficiency has historically struggled to</w:t>
      </w:r>
      <w:r w:rsidR="0057068F">
        <w:t xml:space="preserve"> attract research funding from l</w:t>
      </w:r>
      <w:r>
        <w:t>arger funding bodies. Our program aims to ensu</w:t>
      </w:r>
      <w:r w:rsidR="002E186F">
        <w:t>re that this devastating condition</w:t>
      </w:r>
      <w:r>
        <w:t xml:space="preserve"> receives the research attention it requires and deserves.</w:t>
      </w:r>
      <w:r w:rsidR="009637DD">
        <w:t xml:space="preserve"> </w:t>
      </w:r>
      <w:r w:rsidR="009D203B">
        <w:t>It is our firm belief that positive pre-</w:t>
      </w:r>
      <w:r w:rsidR="009637DD">
        <w:t>clinical research results are likely</w:t>
      </w:r>
      <w:r w:rsidR="009D203B">
        <w:t xml:space="preserve"> to leverage larger amounts of research funding to move towards or into clinic with </w:t>
      </w:r>
      <w:r w:rsidR="004E0105">
        <w:t xml:space="preserve">potential </w:t>
      </w:r>
      <w:r w:rsidR="009D203B">
        <w:t>treatments.</w:t>
      </w:r>
    </w:p>
    <w:p w14:paraId="02F15DFD" w14:textId="77777777" w:rsidR="00842A1A" w:rsidRDefault="00842A1A" w:rsidP="00842A1A">
      <w:pPr>
        <w:spacing w:after="0"/>
      </w:pPr>
    </w:p>
    <w:p w14:paraId="374F85C3" w14:textId="7446E014" w:rsidR="00525CCB" w:rsidRPr="00525CCB" w:rsidRDefault="003A7A8F" w:rsidP="00525CCB">
      <w:pPr>
        <w:rPr>
          <w:b/>
          <w:sz w:val="28"/>
          <w:szCs w:val="28"/>
        </w:rPr>
      </w:pPr>
      <w:r w:rsidRPr="00FF69C1">
        <w:rPr>
          <w:b/>
          <w:sz w:val="28"/>
          <w:szCs w:val="28"/>
        </w:rPr>
        <w:t xml:space="preserve">Our Research Strategy: </w:t>
      </w:r>
    </w:p>
    <w:p w14:paraId="1CD14F45" w14:textId="77777777" w:rsidR="00090280" w:rsidRDefault="003A7A8F" w:rsidP="003A7A8F">
      <w:pPr>
        <w:pStyle w:val="ListParagraph"/>
        <w:numPr>
          <w:ilvl w:val="0"/>
          <w:numId w:val="1"/>
        </w:numPr>
      </w:pPr>
      <w:r>
        <w:t xml:space="preserve">Aims to maximise the impact of the </w:t>
      </w:r>
      <w:r w:rsidR="00090280">
        <w:t>charitable funds we invest.</w:t>
      </w:r>
    </w:p>
    <w:p w14:paraId="649B8E44" w14:textId="50582A8A" w:rsidR="003A7A8F" w:rsidRDefault="00090280" w:rsidP="003A7A8F">
      <w:pPr>
        <w:pStyle w:val="ListParagraph"/>
        <w:numPr>
          <w:ilvl w:val="0"/>
          <w:numId w:val="1"/>
        </w:numPr>
      </w:pPr>
      <w:r>
        <w:t>Aims to</w:t>
      </w:r>
      <w:r w:rsidR="003A7A8F">
        <w:t xml:space="preserve"> identify the research areas that promise to make the greatest scientific advances</w:t>
      </w:r>
      <w:r>
        <w:t xml:space="preserve"> and have the most relevance to MSD patients and their</w:t>
      </w:r>
      <w:r w:rsidR="003A7A8F">
        <w:t xml:space="preserve"> families.</w:t>
      </w:r>
    </w:p>
    <w:p w14:paraId="69EF6D10" w14:textId="55110709" w:rsidR="0057068F" w:rsidRDefault="003A7A8F" w:rsidP="0057068F">
      <w:pPr>
        <w:pStyle w:val="ListParagraph"/>
        <w:numPr>
          <w:ilvl w:val="0"/>
          <w:numId w:val="1"/>
        </w:numPr>
      </w:pPr>
      <w:r>
        <w:t xml:space="preserve">Defines three focus areas: halt disease progression, repair damage and improve quality of life. We believe that investment in these areas is essential to bring desperately needed treatments to </w:t>
      </w:r>
      <w:r w:rsidR="004E0105">
        <w:t>patients</w:t>
      </w:r>
      <w:r>
        <w:t>.</w:t>
      </w:r>
    </w:p>
    <w:p w14:paraId="28A0ADEC" w14:textId="381D87A9" w:rsidR="003A7A8F" w:rsidRPr="00426024" w:rsidRDefault="003A7A8F" w:rsidP="0057068F">
      <w:pPr>
        <w:pStyle w:val="ListParagraph"/>
        <w:numPr>
          <w:ilvl w:val="0"/>
          <w:numId w:val="1"/>
        </w:numPr>
      </w:pPr>
      <w:r w:rsidRPr="0057068F">
        <w:rPr>
          <w:color w:val="000000" w:themeColor="text1"/>
        </w:rPr>
        <w:t>Offers</w:t>
      </w:r>
      <w:r>
        <w:t xml:space="preserve"> research grants with applications assessed via a robust review process to ensure we f</w:t>
      </w:r>
      <w:r w:rsidR="00525CCB">
        <w:t xml:space="preserve">und the most promising research </w:t>
      </w:r>
      <w:r w:rsidR="00525CCB" w:rsidRPr="0057068F">
        <w:rPr>
          <w:color w:val="000000" w:themeColor="text1"/>
        </w:rPr>
        <w:t xml:space="preserve">that </w:t>
      </w:r>
      <w:r w:rsidR="00525CCB" w:rsidRPr="00FB3200">
        <w:rPr>
          <w:color w:val="000000" w:themeColor="text1"/>
        </w:rPr>
        <w:t>can be transla</w:t>
      </w:r>
      <w:r w:rsidR="00AB49E3" w:rsidRPr="00FB3200">
        <w:rPr>
          <w:color w:val="000000" w:themeColor="text1"/>
        </w:rPr>
        <w:t>ted into the clinic</w:t>
      </w:r>
      <w:r w:rsidR="007C7CDD">
        <w:rPr>
          <w:color w:val="000000" w:themeColor="text1"/>
        </w:rPr>
        <w:t xml:space="preserve"> in</w:t>
      </w:r>
      <w:r w:rsidR="00AB49E3" w:rsidRPr="00FB3200">
        <w:rPr>
          <w:color w:val="000000" w:themeColor="text1"/>
        </w:rPr>
        <w:t xml:space="preserve"> the soonest time frames</w:t>
      </w:r>
      <w:r w:rsidR="00525CCB" w:rsidRPr="00FB3200">
        <w:rPr>
          <w:color w:val="000000" w:themeColor="text1"/>
        </w:rPr>
        <w:t>.</w:t>
      </w:r>
    </w:p>
    <w:p w14:paraId="53BEB65B" w14:textId="61646D05" w:rsidR="00426024" w:rsidRPr="00426024" w:rsidRDefault="00090280" w:rsidP="0057068F">
      <w:pPr>
        <w:pStyle w:val="ListParagraph"/>
        <w:numPr>
          <w:ilvl w:val="0"/>
          <w:numId w:val="1"/>
        </w:numPr>
      </w:pPr>
      <w:r>
        <w:rPr>
          <w:color w:val="000000" w:themeColor="text1"/>
        </w:rPr>
        <w:t>To assist with d</w:t>
      </w:r>
      <w:r w:rsidR="00426024">
        <w:rPr>
          <w:color w:val="000000" w:themeColor="text1"/>
        </w:rPr>
        <w:t>rug repurposing or drug screening</w:t>
      </w:r>
      <w:r>
        <w:rPr>
          <w:color w:val="000000" w:themeColor="text1"/>
        </w:rPr>
        <w:t>/discovery</w:t>
      </w:r>
      <w:r w:rsidR="00426024">
        <w:rPr>
          <w:color w:val="000000" w:themeColor="text1"/>
        </w:rPr>
        <w:t xml:space="preserve"> using the best available models that may help to identify or deliver hits in a timely manner.</w:t>
      </w:r>
    </w:p>
    <w:p w14:paraId="19B42F4C" w14:textId="42147359" w:rsidR="00426024" w:rsidRPr="00A201C2" w:rsidRDefault="00426024" w:rsidP="0057068F">
      <w:pPr>
        <w:pStyle w:val="ListParagraph"/>
        <w:numPr>
          <w:ilvl w:val="0"/>
          <w:numId w:val="1"/>
        </w:numPr>
      </w:pPr>
      <w:r>
        <w:rPr>
          <w:color w:val="000000" w:themeColor="text1"/>
        </w:rPr>
        <w:t>Expanding knowledge by supporting research that may help to identify drugs to treat, slow progression, or even cure MSD patients.</w:t>
      </w:r>
    </w:p>
    <w:p w14:paraId="2599E916" w14:textId="6D60B61D" w:rsidR="00A201C2" w:rsidRPr="00FB3200" w:rsidRDefault="00A201C2" w:rsidP="0057068F">
      <w:pPr>
        <w:pStyle w:val="ListParagraph"/>
        <w:numPr>
          <w:ilvl w:val="0"/>
          <w:numId w:val="1"/>
        </w:numPr>
      </w:pPr>
      <w:r>
        <w:rPr>
          <w:color w:val="000000" w:themeColor="text1"/>
        </w:rPr>
        <w:t>Will strongly consider innovative research possibilities that may be supportive in helping with a definitive strategy to determine the best routes of administration in which to deliver potential drugs to treat MSD</w:t>
      </w:r>
    </w:p>
    <w:p w14:paraId="42A69967" w14:textId="502A3E8F" w:rsidR="003A7A8F" w:rsidRDefault="003A7A8F" w:rsidP="003A7A8F">
      <w:r>
        <w:t xml:space="preserve"> </w:t>
      </w:r>
    </w:p>
    <w:p w14:paraId="20A04B0A" w14:textId="77777777" w:rsidR="003A7A8F" w:rsidRPr="00842A1A" w:rsidRDefault="003A7A8F" w:rsidP="003A7A8F">
      <w:pPr>
        <w:rPr>
          <w:b/>
          <w:sz w:val="28"/>
          <w:szCs w:val="28"/>
        </w:rPr>
      </w:pPr>
      <w:r w:rsidRPr="00842A1A">
        <w:rPr>
          <w:b/>
          <w:sz w:val="28"/>
          <w:szCs w:val="28"/>
        </w:rPr>
        <w:t xml:space="preserve">Research Focus Areas </w:t>
      </w:r>
    </w:p>
    <w:p w14:paraId="406B8FB5" w14:textId="77777777" w:rsidR="007A0626" w:rsidRDefault="003A7A8F" w:rsidP="003A7A8F">
      <w:r>
        <w:t>Our R</w:t>
      </w:r>
      <w:r w:rsidR="000B3822">
        <w:t>esearch Strategy will focus on 2</w:t>
      </w:r>
      <w:r>
        <w:t xml:space="preserve"> priority areas and our Research Funding Program will consider projects that address the following areas:</w:t>
      </w:r>
    </w:p>
    <w:tbl>
      <w:tblPr>
        <w:tblStyle w:val="TableGrid"/>
        <w:tblW w:w="9209" w:type="dxa"/>
        <w:tblLook w:val="04A0" w:firstRow="1" w:lastRow="0" w:firstColumn="1" w:lastColumn="0" w:noHBand="0" w:noVBand="1"/>
      </w:tblPr>
      <w:tblGrid>
        <w:gridCol w:w="4673"/>
        <w:gridCol w:w="4536"/>
      </w:tblGrid>
      <w:tr w:rsidR="00CD2DEF" w14:paraId="7D40163D" w14:textId="77777777" w:rsidTr="00454C23">
        <w:trPr>
          <w:trHeight w:val="568"/>
        </w:trPr>
        <w:tc>
          <w:tcPr>
            <w:tcW w:w="4673" w:type="dxa"/>
            <w:shd w:val="clear" w:color="auto" w:fill="B4C6E7" w:themeFill="accent5" w:themeFillTint="66"/>
          </w:tcPr>
          <w:p w14:paraId="7974DAC2" w14:textId="77777777" w:rsidR="00CD2DEF" w:rsidRPr="005758FA" w:rsidRDefault="005758FA" w:rsidP="003A7A8F">
            <w:pPr>
              <w:rPr>
                <w:b/>
                <w:sz w:val="28"/>
                <w:szCs w:val="28"/>
              </w:rPr>
            </w:pPr>
            <w:r>
              <w:rPr>
                <w:b/>
                <w:sz w:val="28"/>
                <w:szCs w:val="28"/>
              </w:rPr>
              <w:t>Halt Disease P</w:t>
            </w:r>
            <w:r w:rsidR="00CD2DEF" w:rsidRPr="005758FA">
              <w:rPr>
                <w:b/>
                <w:sz w:val="28"/>
                <w:szCs w:val="28"/>
              </w:rPr>
              <w:t>rogression</w:t>
            </w:r>
          </w:p>
        </w:tc>
        <w:tc>
          <w:tcPr>
            <w:tcW w:w="4536" w:type="dxa"/>
            <w:shd w:val="clear" w:color="auto" w:fill="B4C6E7" w:themeFill="accent5" w:themeFillTint="66"/>
          </w:tcPr>
          <w:p w14:paraId="12F933AC" w14:textId="77777777" w:rsidR="00CD2DEF" w:rsidRPr="005758FA" w:rsidRDefault="00CD2DEF" w:rsidP="003A7A8F">
            <w:pPr>
              <w:rPr>
                <w:b/>
                <w:sz w:val="28"/>
                <w:szCs w:val="28"/>
              </w:rPr>
            </w:pPr>
            <w:r w:rsidRPr="005758FA">
              <w:rPr>
                <w:b/>
                <w:sz w:val="28"/>
                <w:szCs w:val="28"/>
              </w:rPr>
              <w:t>Repair Damage</w:t>
            </w:r>
          </w:p>
        </w:tc>
      </w:tr>
      <w:tr w:rsidR="00CD2DEF" w14:paraId="753658FA" w14:textId="77777777" w:rsidTr="000B3822">
        <w:trPr>
          <w:trHeight w:val="3383"/>
        </w:trPr>
        <w:tc>
          <w:tcPr>
            <w:tcW w:w="4673" w:type="dxa"/>
          </w:tcPr>
          <w:p w14:paraId="1EA20A50" w14:textId="77777777" w:rsidR="005758FA" w:rsidRPr="000B3822" w:rsidRDefault="005758FA" w:rsidP="003A7A8F">
            <w:pPr>
              <w:pStyle w:val="ListParagraph"/>
              <w:numPr>
                <w:ilvl w:val="0"/>
                <w:numId w:val="3"/>
              </w:numPr>
            </w:pPr>
            <w:r w:rsidRPr="000B3822">
              <w:t>Gene therapy, enzyme replacement, cell therapy</w:t>
            </w:r>
            <w:r w:rsidR="000B3822" w:rsidRPr="000B3822">
              <w:t xml:space="preserve"> </w:t>
            </w:r>
            <w:r w:rsidRPr="000B3822">
              <w:t>&amp; other emerging therapies to stop progression of Multiple Sulfatase Deficiency.</w:t>
            </w:r>
          </w:p>
          <w:p w14:paraId="4972651F" w14:textId="77777777" w:rsidR="005758FA" w:rsidRPr="000B3822" w:rsidRDefault="005758FA" w:rsidP="003A7A8F"/>
          <w:p w14:paraId="449E29BB" w14:textId="77777777" w:rsidR="005758FA" w:rsidRPr="000B3822" w:rsidRDefault="005758FA" w:rsidP="000B3822">
            <w:pPr>
              <w:pStyle w:val="ListParagraph"/>
              <w:numPr>
                <w:ilvl w:val="0"/>
                <w:numId w:val="3"/>
              </w:numPr>
            </w:pPr>
            <w:r w:rsidRPr="000B3822">
              <w:t>Strategies to enhance the effectiveness of emerging therapies</w:t>
            </w:r>
          </w:p>
          <w:p w14:paraId="02B3D21D" w14:textId="77777777" w:rsidR="005758FA" w:rsidRPr="000B3822" w:rsidRDefault="005758FA" w:rsidP="003A7A8F"/>
          <w:p w14:paraId="64B73D25" w14:textId="77777777" w:rsidR="005758FA" w:rsidRDefault="005758FA" w:rsidP="000B3822">
            <w:pPr>
              <w:pStyle w:val="ListParagraph"/>
              <w:numPr>
                <w:ilvl w:val="0"/>
                <w:numId w:val="3"/>
              </w:numPr>
            </w:pPr>
            <w:r w:rsidRPr="000B3822">
              <w:t>Halt disease progression early to optimise brain development</w:t>
            </w:r>
          </w:p>
          <w:p w14:paraId="64B19698" w14:textId="77777777" w:rsidR="00090280" w:rsidRDefault="00090280" w:rsidP="00090280">
            <w:pPr>
              <w:pStyle w:val="ListParagraph"/>
            </w:pPr>
          </w:p>
          <w:p w14:paraId="47905A95" w14:textId="644F4CAB" w:rsidR="00090280" w:rsidRPr="000B3822" w:rsidRDefault="00090280" w:rsidP="000B3822">
            <w:pPr>
              <w:pStyle w:val="ListParagraph"/>
              <w:numPr>
                <w:ilvl w:val="0"/>
                <w:numId w:val="3"/>
              </w:numPr>
            </w:pPr>
            <w:r>
              <w:t>Improve quality of life by identifying treatments.</w:t>
            </w:r>
          </w:p>
        </w:tc>
        <w:tc>
          <w:tcPr>
            <w:tcW w:w="4536" w:type="dxa"/>
          </w:tcPr>
          <w:p w14:paraId="07EFDAE1" w14:textId="77777777" w:rsidR="00CD2DEF" w:rsidRPr="000B3822" w:rsidRDefault="005758FA" w:rsidP="000B3822">
            <w:pPr>
              <w:pStyle w:val="ListParagraph"/>
              <w:numPr>
                <w:ilvl w:val="0"/>
                <w:numId w:val="3"/>
              </w:numPr>
            </w:pPr>
            <w:r w:rsidRPr="000B3822">
              <w:t>Repair and reverse cell damage</w:t>
            </w:r>
          </w:p>
          <w:p w14:paraId="17AC9E91" w14:textId="77777777" w:rsidR="005758FA" w:rsidRPr="000B3822" w:rsidRDefault="005758FA" w:rsidP="003A7A8F"/>
          <w:p w14:paraId="544BD653" w14:textId="77777777" w:rsidR="00D07787" w:rsidRPr="000B3822" w:rsidRDefault="00D07787" w:rsidP="003A7A8F"/>
          <w:p w14:paraId="7C6A0A16" w14:textId="77777777" w:rsidR="005758FA" w:rsidRPr="000B3822" w:rsidRDefault="005758FA" w:rsidP="000B3822">
            <w:pPr>
              <w:pStyle w:val="ListParagraph"/>
              <w:numPr>
                <w:ilvl w:val="0"/>
                <w:numId w:val="3"/>
              </w:numPr>
            </w:pPr>
            <w:r w:rsidRPr="000B3822">
              <w:t>Broad application of regenerative treatments, for example repurposing approved drugs</w:t>
            </w:r>
          </w:p>
          <w:p w14:paraId="0B11E954" w14:textId="77777777" w:rsidR="005758FA" w:rsidRPr="000B3822" w:rsidRDefault="005758FA" w:rsidP="003A7A8F"/>
          <w:p w14:paraId="4930EE64" w14:textId="77777777" w:rsidR="005758FA" w:rsidRPr="000B3822" w:rsidRDefault="005758FA" w:rsidP="000B3822">
            <w:pPr>
              <w:pStyle w:val="ListParagraph"/>
              <w:numPr>
                <w:ilvl w:val="0"/>
                <w:numId w:val="3"/>
              </w:numPr>
            </w:pPr>
            <w:r w:rsidRPr="000B3822">
              <w:t>Opportunity to collaborate with researchers workin</w:t>
            </w:r>
            <w:r w:rsidR="000B3822" w:rsidRPr="000B3822">
              <w:t>g on other neuro-</w:t>
            </w:r>
            <w:r w:rsidRPr="000B3822">
              <w:t>degenerative diseases</w:t>
            </w:r>
          </w:p>
        </w:tc>
      </w:tr>
    </w:tbl>
    <w:p w14:paraId="0F8E0DD0" w14:textId="77777777" w:rsidR="000B11BB" w:rsidRDefault="000B11BB" w:rsidP="003A7A8F"/>
    <w:p w14:paraId="47CFD504" w14:textId="7BFAB390" w:rsidR="003A7A8F" w:rsidRDefault="00152341" w:rsidP="003A7A8F">
      <w:r>
        <w:t>*</w:t>
      </w:r>
      <w:r w:rsidR="00426024">
        <w:t>Note our</w:t>
      </w:r>
      <w:r w:rsidR="003A7A8F">
        <w:t xml:space="preserve"> funding focus areas may </w:t>
      </w:r>
      <w:r w:rsidR="001307CA">
        <w:t>include</w:t>
      </w:r>
      <w:r w:rsidR="003A7A8F">
        <w:t xml:space="preserve"> prevention (including pre-concep</w:t>
      </w:r>
      <w:r>
        <w:t>tion), diagnosis and prognosis. Diagnosis and prognosis can greatly help with any possible medical interventions.</w:t>
      </w:r>
    </w:p>
    <w:p w14:paraId="7FAEDA73" w14:textId="77777777" w:rsidR="000B11BB" w:rsidRDefault="000B11BB" w:rsidP="003A7A8F">
      <w:pPr>
        <w:rPr>
          <w:b/>
          <w:sz w:val="28"/>
          <w:szCs w:val="28"/>
        </w:rPr>
      </w:pPr>
    </w:p>
    <w:p w14:paraId="71FF5A32" w14:textId="77777777" w:rsidR="000B11BB" w:rsidRDefault="000B11BB" w:rsidP="003A7A8F">
      <w:pPr>
        <w:rPr>
          <w:b/>
          <w:sz w:val="28"/>
          <w:szCs w:val="28"/>
        </w:rPr>
      </w:pPr>
    </w:p>
    <w:p w14:paraId="0B2BC2FD" w14:textId="77777777" w:rsidR="00842A1A" w:rsidRDefault="003A7A8F" w:rsidP="003A7A8F">
      <w:r w:rsidRPr="00842A1A">
        <w:rPr>
          <w:b/>
          <w:sz w:val="28"/>
          <w:szCs w:val="28"/>
        </w:rPr>
        <w:t>Research Principles</w:t>
      </w:r>
      <w:r w:rsidR="00972E84">
        <w:rPr>
          <w:b/>
          <w:sz w:val="28"/>
          <w:szCs w:val="28"/>
        </w:rPr>
        <w:t xml:space="preserve">: </w:t>
      </w:r>
      <w:r>
        <w:t>The following principles underpin our Research Strategy and apply to each focus area.</w:t>
      </w:r>
    </w:p>
    <w:p w14:paraId="28E410CB" w14:textId="77777777" w:rsidR="00842A1A" w:rsidRDefault="0031650A" w:rsidP="003A7A8F">
      <w:r>
        <w:rPr>
          <w:noProof/>
          <w:lang w:eastAsia="en-GB"/>
        </w:rPr>
        <mc:AlternateContent>
          <mc:Choice Requires="wps">
            <w:drawing>
              <wp:anchor distT="0" distB="0" distL="114300" distR="114300" simplePos="0" relativeHeight="251659264" behindDoc="0" locked="0" layoutInCell="1" allowOverlap="1" wp14:anchorId="3EF97B69" wp14:editId="04003DF2">
                <wp:simplePos x="0" y="0"/>
                <wp:positionH relativeFrom="margin">
                  <wp:posOffset>66674</wp:posOffset>
                </wp:positionH>
                <wp:positionV relativeFrom="paragraph">
                  <wp:posOffset>7620</wp:posOffset>
                </wp:positionV>
                <wp:extent cx="5505450" cy="971550"/>
                <wp:effectExtent l="0" t="0" r="19050" b="19050"/>
                <wp:wrapNone/>
                <wp:docPr id="2" name="Rounded Rectangle 2"/>
                <wp:cNvGraphicFramePr/>
                <a:graphic xmlns:a="http://schemas.openxmlformats.org/drawingml/2006/main">
                  <a:graphicData uri="http://schemas.microsoft.com/office/word/2010/wordprocessingShape">
                    <wps:wsp>
                      <wps:cNvSpPr/>
                      <wps:spPr>
                        <a:xfrm rot="10800000" flipV="1">
                          <a:off x="0" y="0"/>
                          <a:ext cx="5505450" cy="971550"/>
                        </a:xfrm>
                        <a:prstGeom prst="roundRect">
                          <a:avLst>
                            <a:gd name="adj" fmla="val 2438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005119" w14:textId="77777777" w:rsidR="00525CCB" w:rsidRDefault="00525CCB" w:rsidP="0031650A">
                            <w:pPr>
                              <w:rPr>
                                <w:b/>
                                <w:sz w:val="24"/>
                                <w:szCs w:val="24"/>
                              </w:rPr>
                            </w:pPr>
                            <w:r>
                              <w:rPr>
                                <w:b/>
                                <w:sz w:val="24"/>
                                <w:szCs w:val="24"/>
                              </w:rPr>
                              <w:t xml:space="preserve">                                                       Fund the best research</w:t>
                            </w:r>
                          </w:p>
                          <w:p w14:paraId="3D33F656" w14:textId="77777777" w:rsidR="00525CCB" w:rsidRPr="00723D1A" w:rsidRDefault="00525CCB" w:rsidP="0031650A">
                            <w:r w:rsidRPr="00723D1A">
                              <w:t>Funding priority given to research most relevant to our objectives regardless of</w:t>
                            </w:r>
                            <w:r>
                              <w:t xml:space="preserve"> geography, discipline or researcher.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F97B69" id="Rounded Rectangle 2" o:spid="_x0000_s1026" style="position:absolute;margin-left:5.25pt;margin-top:.6pt;width:433.5pt;height:76.5pt;rotation:180;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9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" fillcolor="#5b9bd5 [3204]" strokecolor="#1f4d78 [1604]" strokeweight="1pt">
                <v:stroke joinstyle="miter"/>
                <v:textbox>
                  <w:txbxContent>
                    <w:p w14:paraId="0E005119" w14:textId="77777777" w:rsidR="00525CCB" w:rsidRDefault="00525CCB" w:rsidP="0031650A">
                      <w:pPr>
                        <w:rPr>
                          <w:b/>
                          <w:sz w:val="24"/>
                          <w:szCs w:val="24"/>
                        </w:rPr>
                      </w:pPr>
                      <w:r>
                        <w:rPr>
                          <w:b/>
                          <w:sz w:val="24"/>
                          <w:szCs w:val="24"/>
                        </w:rPr>
                        <w:t xml:space="preserve">                                                       Fund the best research</w:t>
                      </w:r>
                    </w:p>
                    <w:p w14:paraId="3D33F656" w14:textId="77777777" w:rsidR="00525CCB" w:rsidRPr="00723D1A" w:rsidRDefault="00525CCB" w:rsidP="0031650A">
                      <w:r w:rsidRPr="00723D1A">
                        <w:t>Funding priority given to research most relevant to our objectives regardless of</w:t>
                      </w:r>
                      <w:r>
                        <w:t xml:space="preserve"> geography, discipline or researcher.</w:t>
                      </w:r>
                    </w:p>
                  </w:txbxContent>
                </v:textbox>
                <w10:wrap anchorx="margin"/>
              </v:roundrect>
            </w:pict>
          </mc:Fallback>
        </mc:AlternateContent>
      </w:r>
    </w:p>
    <w:p w14:paraId="50650E04" w14:textId="77777777" w:rsidR="00842A1A" w:rsidRDefault="00842A1A" w:rsidP="003A7A8F"/>
    <w:p w14:paraId="4FD79A3A" w14:textId="77777777" w:rsidR="0031650A" w:rsidRDefault="0031650A" w:rsidP="003A7A8F"/>
    <w:p w14:paraId="1D4476B1" w14:textId="77777777" w:rsidR="0031650A" w:rsidRDefault="0031650A" w:rsidP="003A7A8F"/>
    <w:p w14:paraId="668A330C" w14:textId="77777777" w:rsidR="0031650A" w:rsidRDefault="0046310C" w:rsidP="003A7A8F">
      <w:r>
        <w:rPr>
          <w:noProof/>
          <w:lang w:eastAsia="en-GB"/>
        </w:rPr>
        <mc:AlternateContent>
          <mc:Choice Requires="wps">
            <w:drawing>
              <wp:anchor distT="0" distB="0" distL="114300" distR="114300" simplePos="0" relativeHeight="251660288" behindDoc="0" locked="0" layoutInCell="1" allowOverlap="1" wp14:anchorId="18551561" wp14:editId="1321E104">
                <wp:simplePos x="0" y="0"/>
                <wp:positionH relativeFrom="margin">
                  <wp:posOffset>76200</wp:posOffset>
                </wp:positionH>
                <wp:positionV relativeFrom="paragraph">
                  <wp:posOffset>17145</wp:posOffset>
                </wp:positionV>
                <wp:extent cx="5495925" cy="933450"/>
                <wp:effectExtent l="0" t="0" r="28575" b="19050"/>
                <wp:wrapNone/>
                <wp:docPr id="4" name="Rounded Rectangle 4"/>
                <wp:cNvGraphicFramePr/>
                <a:graphic xmlns:a="http://schemas.openxmlformats.org/drawingml/2006/main">
                  <a:graphicData uri="http://schemas.microsoft.com/office/word/2010/wordprocessingShape">
                    <wps:wsp>
                      <wps:cNvSpPr/>
                      <wps:spPr>
                        <a:xfrm rot="10800000" flipH="1" flipV="1">
                          <a:off x="0" y="0"/>
                          <a:ext cx="5495925" cy="933450"/>
                        </a:xfrm>
                        <a:prstGeom prst="roundRect">
                          <a:avLst>
                            <a:gd name="adj" fmla="val 23469"/>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EA65EA" w14:textId="2F35DAAE" w:rsidR="00525CCB" w:rsidRPr="00525CCB" w:rsidRDefault="005F2302" w:rsidP="00723D1A">
                            <w:pPr>
                              <w:jc w:val="center"/>
                              <w:rPr>
                                <w:b/>
                                <w:sz w:val="24"/>
                                <w:szCs w:val="24"/>
                              </w:rPr>
                            </w:pPr>
                            <w:r>
                              <w:rPr>
                                <w:b/>
                                <w:sz w:val="24"/>
                                <w:szCs w:val="24"/>
                              </w:rPr>
                              <w:t xml:space="preserve">Focus on </w:t>
                            </w:r>
                            <w:r w:rsidRPr="00FB3200">
                              <w:rPr>
                                <w:b/>
                                <w:sz w:val="24"/>
                                <w:szCs w:val="24"/>
                              </w:rPr>
                              <w:t>translational</w:t>
                            </w:r>
                            <w:r w:rsidR="00525CCB" w:rsidRPr="00525CCB">
                              <w:rPr>
                                <w:b/>
                                <w:sz w:val="24"/>
                                <w:szCs w:val="24"/>
                              </w:rPr>
                              <w:t xml:space="preserve"> research</w:t>
                            </w:r>
                          </w:p>
                          <w:p w14:paraId="70548F08" w14:textId="6FA4D3F3" w:rsidR="00525CCB" w:rsidRPr="00723D1A" w:rsidRDefault="00525CCB" w:rsidP="00723D1A">
                            <w:pPr>
                              <w:jc w:val="center"/>
                            </w:pPr>
                            <w:r w:rsidRPr="0087433F">
                              <w:t xml:space="preserve">Drive research showing transitional promise, </w:t>
                            </w:r>
                            <w:r w:rsidRPr="0087433F">
                              <w:rPr>
                                <w:color w:val="FFFFFF" w:themeColor="background1"/>
                              </w:rPr>
                              <w:t xml:space="preserve">to give patients the quickest access </w:t>
                            </w:r>
                            <w:r w:rsidRPr="0087433F">
                              <w:t>to emerging therapies via clinical trials and pilot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51561" id="Rounded Rectangle 4" o:spid="_x0000_s1027" style="position:absolute;margin-left:6pt;margin-top:1.35pt;width:432.75pt;height:73.5pt;rotation:180;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3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" fillcolor="#5b9bd5 [3204]" strokecolor="#1f4d78 [1604]" strokeweight="1pt">
                <v:stroke joinstyle="miter"/>
                <v:textbox>
                  <w:txbxContent>
                    <w:p w14:paraId="39EA65EA" w14:textId="2F35DAAE" w:rsidR="00525CCB" w:rsidRPr="00525CCB" w:rsidRDefault="005F2302" w:rsidP="00723D1A">
                      <w:pPr>
                        <w:jc w:val="center"/>
                        <w:rPr>
                          <w:b/>
                          <w:sz w:val="24"/>
                          <w:szCs w:val="24"/>
                        </w:rPr>
                      </w:pPr>
                      <w:r>
                        <w:rPr>
                          <w:b/>
                          <w:sz w:val="24"/>
                          <w:szCs w:val="24"/>
                        </w:rPr>
                        <w:t xml:space="preserve">Focus on </w:t>
                      </w:r>
                      <w:r w:rsidRPr="00FB3200">
                        <w:rPr>
                          <w:b/>
                          <w:sz w:val="24"/>
                          <w:szCs w:val="24"/>
                        </w:rPr>
                        <w:t>translational</w:t>
                      </w:r>
                      <w:r w:rsidR="00525CCB" w:rsidRPr="00525CCB">
                        <w:rPr>
                          <w:b/>
                          <w:sz w:val="24"/>
                          <w:szCs w:val="24"/>
                        </w:rPr>
                        <w:t xml:space="preserve"> research</w:t>
                      </w:r>
                    </w:p>
                    <w:p w14:paraId="70548F08" w14:textId="6FA4D3F3" w:rsidR="00525CCB" w:rsidRPr="00723D1A" w:rsidRDefault="00525CCB" w:rsidP="00723D1A">
                      <w:pPr>
                        <w:jc w:val="center"/>
                      </w:pPr>
                      <w:r w:rsidRPr="0087433F">
                        <w:t xml:space="preserve">Drive research showing transitional promise, </w:t>
                      </w:r>
                      <w:r w:rsidRPr="0087433F">
                        <w:rPr>
                          <w:color w:val="FFFFFF" w:themeColor="background1"/>
                        </w:rPr>
                        <w:t xml:space="preserve">to give patients the quickest access </w:t>
                      </w:r>
                      <w:r w:rsidRPr="0087433F">
                        <w:t>to emerging therapies via clinical trials and pilot studies</w:t>
                      </w:r>
                    </w:p>
                  </w:txbxContent>
                </v:textbox>
                <w10:wrap anchorx="margin"/>
              </v:roundrect>
            </w:pict>
          </mc:Fallback>
        </mc:AlternateContent>
      </w:r>
    </w:p>
    <w:p w14:paraId="5ED54FE3" w14:textId="77777777" w:rsidR="00723D1A" w:rsidRDefault="00723D1A" w:rsidP="003A7A8F"/>
    <w:p w14:paraId="3866B352" w14:textId="77777777" w:rsidR="00723D1A" w:rsidRDefault="00723D1A" w:rsidP="003A7A8F"/>
    <w:p w14:paraId="56FA344B" w14:textId="77777777" w:rsidR="00723D1A" w:rsidRDefault="00723D1A" w:rsidP="003A7A8F"/>
    <w:p w14:paraId="57B5037A" w14:textId="77777777" w:rsidR="00723D1A" w:rsidRDefault="00723D1A" w:rsidP="003A7A8F">
      <w:r>
        <w:rPr>
          <w:noProof/>
          <w:lang w:eastAsia="en-GB"/>
        </w:rPr>
        <mc:AlternateContent>
          <mc:Choice Requires="wps">
            <w:drawing>
              <wp:anchor distT="0" distB="0" distL="114300" distR="114300" simplePos="0" relativeHeight="251661312" behindDoc="0" locked="0" layoutInCell="1" allowOverlap="1" wp14:anchorId="15C20177" wp14:editId="4EBEEFBF">
                <wp:simplePos x="0" y="0"/>
                <wp:positionH relativeFrom="margin">
                  <wp:posOffset>85725</wp:posOffset>
                </wp:positionH>
                <wp:positionV relativeFrom="paragraph">
                  <wp:posOffset>8255</wp:posOffset>
                </wp:positionV>
                <wp:extent cx="5495925" cy="10858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5495925" cy="1085850"/>
                        </a:xfrm>
                        <a:prstGeom prst="roundRect">
                          <a:avLst>
                            <a:gd name="adj" fmla="val 2187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306406" w14:textId="77777777" w:rsidR="00525CCB" w:rsidRDefault="00525CCB" w:rsidP="0046310C">
                            <w:pPr>
                              <w:jc w:val="center"/>
                              <w:rPr>
                                <w:b/>
                                <w:sz w:val="24"/>
                                <w:szCs w:val="24"/>
                              </w:rPr>
                            </w:pPr>
                            <w:r w:rsidRPr="0046310C">
                              <w:rPr>
                                <w:b/>
                                <w:sz w:val="24"/>
                                <w:szCs w:val="24"/>
                              </w:rPr>
                              <w:t>Encourage innovation and collaboration</w:t>
                            </w:r>
                          </w:p>
                          <w:p w14:paraId="0D7A1C1D" w14:textId="77777777" w:rsidR="00525CCB" w:rsidRPr="0046310C" w:rsidRDefault="00525CCB" w:rsidP="0046310C">
                            <w:pPr>
                              <w:jc w:val="center"/>
                            </w:pPr>
                            <w:r w:rsidRPr="0046310C">
                              <w:t>Apply</w:t>
                            </w:r>
                            <w:r>
                              <w:t xml:space="preserve"> advances from other research areas; fund initiatives involving new cutting edge ideas and enabling international collaboration and excellence; and collaborate with other funding bodies to co-fund projects to extend our reach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C20177" id="Rounded Rectangle 5" o:spid="_x0000_s1028" style="position:absolute;margin-left:6.75pt;margin-top:.65pt;width:432.75pt;height:8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" fillcolor="#5b9bd5 [3204]" strokecolor="#1f4d78 [1604]" strokeweight="1pt">
                <v:stroke joinstyle="miter"/>
                <v:textbox>
                  <w:txbxContent>
                    <w:p w14:paraId="5A306406" w14:textId="77777777" w:rsidR="00525CCB" w:rsidRDefault="00525CCB" w:rsidP="0046310C">
                      <w:pPr>
                        <w:jc w:val="center"/>
                        <w:rPr>
                          <w:b/>
                          <w:sz w:val="24"/>
                          <w:szCs w:val="24"/>
                        </w:rPr>
                      </w:pPr>
                      <w:r w:rsidRPr="0046310C">
                        <w:rPr>
                          <w:b/>
                          <w:sz w:val="24"/>
                          <w:szCs w:val="24"/>
                        </w:rPr>
                        <w:t>Encourage innovation and collaboration</w:t>
                      </w:r>
                    </w:p>
                    <w:p w14:paraId="0D7A1C1D" w14:textId="77777777" w:rsidR="00525CCB" w:rsidRPr="0046310C" w:rsidRDefault="00525CCB" w:rsidP="0046310C">
                      <w:pPr>
                        <w:jc w:val="center"/>
                      </w:pPr>
                      <w:r w:rsidRPr="0046310C">
                        <w:t>Apply</w:t>
                      </w:r>
                      <w:r>
                        <w:t xml:space="preserve"> advances from other research areas; fund initiatives involving new cutting edge ideas and enabling international collaboration and excellence; and collaborate with other funding bodies to co-fund projects to extend our reach</w:t>
                      </w:r>
                    </w:p>
                  </w:txbxContent>
                </v:textbox>
                <w10:wrap anchorx="margin"/>
              </v:roundrect>
            </w:pict>
          </mc:Fallback>
        </mc:AlternateContent>
      </w:r>
    </w:p>
    <w:p w14:paraId="56533E2E" w14:textId="77777777" w:rsidR="00723D1A" w:rsidRDefault="00723D1A" w:rsidP="003A7A8F"/>
    <w:p w14:paraId="528542E7" w14:textId="77777777" w:rsidR="00723D1A" w:rsidRDefault="00723D1A" w:rsidP="003A7A8F"/>
    <w:p w14:paraId="5D6469BD" w14:textId="77777777" w:rsidR="003A7A8F" w:rsidRDefault="003A7A8F" w:rsidP="003A7A8F"/>
    <w:p w14:paraId="70395EFC" w14:textId="77777777" w:rsidR="00972E84" w:rsidRPr="000B11BB" w:rsidRDefault="00972E84" w:rsidP="003A7A8F">
      <w:pPr>
        <w:rPr>
          <w:b/>
          <w:sz w:val="24"/>
          <w:szCs w:val="24"/>
        </w:rPr>
      </w:pPr>
    </w:p>
    <w:p w14:paraId="59F373C9" w14:textId="77777777" w:rsidR="000B11BB" w:rsidRPr="000B11BB" w:rsidRDefault="000B11BB" w:rsidP="000B11BB">
      <w:r w:rsidRPr="000B11BB">
        <w:t xml:space="preserve">We plan to invest annually across the following grant types:  </w:t>
      </w:r>
    </w:p>
    <w:p w14:paraId="3A3993A1" w14:textId="187EC692" w:rsidR="000B11BB" w:rsidRPr="000B11BB" w:rsidRDefault="005B4BC2" w:rsidP="000B11BB">
      <w:pPr>
        <w:rPr>
          <w:b/>
        </w:rPr>
      </w:pPr>
      <w:r>
        <w:rPr>
          <w:b/>
        </w:rPr>
        <w:t xml:space="preserve">             </w:t>
      </w:r>
      <w:r w:rsidR="000B11BB" w:rsidRPr="000B11BB">
        <w:rPr>
          <w:b/>
        </w:rPr>
        <w:t xml:space="preserve">                                            </w:t>
      </w:r>
    </w:p>
    <w:p w14:paraId="6F724F0D" w14:textId="0F8F1855" w:rsidR="005B4BC2" w:rsidRPr="001D7078" w:rsidRDefault="005B4BC2" w:rsidP="005B4BC2">
      <w:pPr>
        <w:rPr>
          <w:sz w:val="24"/>
          <w:szCs w:val="24"/>
        </w:rPr>
      </w:pPr>
      <w:r w:rsidRPr="005B4BC2">
        <w:rPr>
          <w:b/>
          <w:sz w:val="28"/>
          <w:szCs w:val="28"/>
        </w:rPr>
        <w:t>•</w:t>
      </w:r>
      <w:r w:rsidRPr="005B4BC2">
        <w:rPr>
          <w:b/>
          <w:sz w:val="28"/>
          <w:szCs w:val="28"/>
        </w:rPr>
        <w:tab/>
      </w:r>
      <w:r w:rsidRPr="005B4BC2">
        <w:rPr>
          <w:b/>
          <w:sz w:val="24"/>
          <w:szCs w:val="24"/>
        </w:rPr>
        <w:t>Translational Research</w:t>
      </w:r>
      <w:r w:rsidRPr="005B4BC2">
        <w:rPr>
          <w:b/>
          <w:sz w:val="28"/>
          <w:szCs w:val="28"/>
        </w:rPr>
        <w:t xml:space="preserve"> </w:t>
      </w:r>
      <w:r w:rsidRPr="005B4BC2">
        <w:t>Grants are funding for projects with significant potential to move through the translational pipeline towards treatment. This includes pre-clinical and clinical resear</w:t>
      </w:r>
      <w:r w:rsidR="001D7078">
        <w:t xml:space="preserve">ch to develop new treatments. </w:t>
      </w:r>
      <w:r w:rsidR="004E0105">
        <w:t>Generally, w</w:t>
      </w:r>
      <w:r w:rsidR="001D7078">
        <w:t>e</w:t>
      </w:r>
      <w:r w:rsidRPr="005B4BC2">
        <w:t xml:space="preserve"> </w:t>
      </w:r>
      <w:r w:rsidR="004E0105">
        <w:t xml:space="preserve">try to </w:t>
      </w:r>
      <w:r w:rsidRPr="005B4BC2">
        <w:t xml:space="preserve">fund projects up </w:t>
      </w:r>
      <w:r w:rsidR="001D7078">
        <w:t>to €100k/year for up to 2 years</w:t>
      </w:r>
      <w:r w:rsidR="001D7078">
        <w:rPr>
          <w:b/>
          <w:sz w:val="28"/>
          <w:szCs w:val="28"/>
        </w:rPr>
        <w:t xml:space="preserve">. </w:t>
      </w:r>
      <w:r w:rsidR="001D7078" w:rsidRPr="001D7078">
        <w:rPr>
          <w:sz w:val="24"/>
          <w:szCs w:val="24"/>
        </w:rPr>
        <w:t>In joint funding opportunities this</w:t>
      </w:r>
      <w:r w:rsidR="001D7078">
        <w:rPr>
          <w:sz w:val="24"/>
          <w:szCs w:val="24"/>
        </w:rPr>
        <w:t xml:space="preserve"> limit on funding and the timeline</w:t>
      </w:r>
      <w:r w:rsidR="001D7078" w:rsidRPr="001D7078">
        <w:rPr>
          <w:sz w:val="24"/>
          <w:szCs w:val="24"/>
        </w:rPr>
        <w:t xml:space="preserve"> does not apply </w:t>
      </w:r>
      <w:r w:rsidR="004E0105">
        <w:rPr>
          <w:sz w:val="24"/>
          <w:szCs w:val="24"/>
        </w:rPr>
        <w:t xml:space="preserve">because such joint fun funding opportunities can </w:t>
      </w:r>
      <w:r w:rsidR="001D7078" w:rsidRPr="001D7078">
        <w:rPr>
          <w:sz w:val="24"/>
          <w:szCs w:val="24"/>
        </w:rPr>
        <w:t>widen our scope.</w:t>
      </w:r>
    </w:p>
    <w:p w14:paraId="4DE164A0" w14:textId="758E69E5" w:rsidR="000B11BB" w:rsidRDefault="005B4BC2" w:rsidP="005B4BC2">
      <w:r w:rsidRPr="005B4BC2">
        <w:rPr>
          <w:b/>
          <w:sz w:val="28"/>
          <w:szCs w:val="28"/>
        </w:rPr>
        <w:t>•</w:t>
      </w:r>
      <w:r w:rsidRPr="005B4BC2">
        <w:rPr>
          <w:b/>
          <w:sz w:val="28"/>
          <w:szCs w:val="28"/>
        </w:rPr>
        <w:tab/>
      </w:r>
      <w:r w:rsidRPr="005B4BC2">
        <w:rPr>
          <w:b/>
          <w:sz w:val="24"/>
          <w:szCs w:val="24"/>
        </w:rPr>
        <w:t>Incubator Grants</w:t>
      </w:r>
      <w:r w:rsidRPr="005B4BC2">
        <w:rPr>
          <w:b/>
          <w:sz w:val="28"/>
          <w:szCs w:val="28"/>
        </w:rPr>
        <w:t xml:space="preserve"> </w:t>
      </w:r>
      <w:r w:rsidRPr="005B4BC2">
        <w:t xml:space="preserve">focus on small scale projects investigating bright new ideas with the potential to generate results that may attract larger scale funding.  We fund projects up to </w:t>
      </w:r>
      <w:r w:rsidR="00C3286C">
        <w:t xml:space="preserve">a maximum of €100k. </w:t>
      </w:r>
      <w:r w:rsidR="00C3286C" w:rsidRPr="00C3286C">
        <w:t>Smaller amounts with high potential and shorter timelines may be prioritised. Only where a clear commitment to apply to lever</w:t>
      </w:r>
      <w:r w:rsidR="004E0105">
        <w:t>age</w:t>
      </w:r>
      <w:r w:rsidR="00C3286C" w:rsidRPr="00C3286C">
        <w:t xml:space="preserve"> larger</w:t>
      </w:r>
      <w:r w:rsidR="004E0105">
        <w:t xml:space="preserve"> amounts of</w:t>
      </w:r>
      <w:r w:rsidR="00C3286C" w:rsidRPr="00C3286C">
        <w:t xml:space="preserve"> funding is apparent</w:t>
      </w:r>
      <w:r w:rsidR="00C3286C">
        <w:t>.</w:t>
      </w:r>
    </w:p>
    <w:p w14:paraId="7A84C676" w14:textId="46746BC9" w:rsidR="00D76985" w:rsidRDefault="00D76985" w:rsidP="005B4BC2">
      <w:r w:rsidRPr="00D76985">
        <w:t xml:space="preserve">If an Incubator grant is being sought, we would strongly encourage the researcher to highlight in detail how they anticipate the receipt of seed funding is going to leverage greater funding and how </w:t>
      </w:r>
      <w:r w:rsidRPr="00D76985">
        <w:lastRenderedPageBreak/>
        <w:t xml:space="preserve">any preliminary data obtained </w:t>
      </w:r>
      <w:r w:rsidR="004E0105">
        <w:t>c</w:t>
      </w:r>
      <w:r w:rsidRPr="00D76985">
        <w:t>ould lead to a bigger grant. We would also encourage identification of matched funding or other funding sources.</w:t>
      </w:r>
    </w:p>
    <w:p w14:paraId="045E596D" w14:textId="10D66992" w:rsidR="00152341" w:rsidRPr="00D76985" w:rsidRDefault="00152341" w:rsidP="005B4BC2">
      <w:r>
        <w:t>*Note: It may not be required to identify which grant type is being sought in every grant call.</w:t>
      </w:r>
    </w:p>
    <w:p w14:paraId="5ADE1F7F" w14:textId="77777777" w:rsidR="000B11BB" w:rsidRDefault="000B11BB" w:rsidP="00972E84">
      <w:pPr>
        <w:rPr>
          <w:b/>
          <w:sz w:val="28"/>
          <w:szCs w:val="28"/>
        </w:rPr>
      </w:pPr>
    </w:p>
    <w:p w14:paraId="63FDD5E4" w14:textId="77777777" w:rsidR="00972E84" w:rsidRPr="00972E84" w:rsidRDefault="00972E84" w:rsidP="00972E84">
      <w:pPr>
        <w:rPr>
          <w:b/>
          <w:sz w:val="28"/>
          <w:szCs w:val="28"/>
        </w:rPr>
      </w:pPr>
      <w:r w:rsidRPr="00972E84">
        <w:rPr>
          <w:b/>
          <w:sz w:val="28"/>
          <w:szCs w:val="28"/>
        </w:rPr>
        <w:t xml:space="preserve">How we fund research </w:t>
      </w:r>
    </w:p>
    <w:p w14:paraId="448E9A66" w14:textId="2120DA2B" w:rsidR="00972E84" w:rsidRDefault="00972E84" w:rsidP="00972E84">
      <w:r>
        <w:t>Our funds are raised primarily through grassroots fundraising activities initiated by the foundation,</w:t>
      </w:r>
      <w:r w:rsidR="001D7078">
        <w:t xml:space="preserve"> our supporters and families.  </w:t>
      </w:r>
      <w:r>
        <w:t xml:space="preserve">We have </w:t>
      </w:r>
      <w:r w:rsidR="00D07787">
        <w:t>a duty of care to ensure that our charitable</w:t>
      </w:r>
      <w:r>
        <w:t xml:space="preserve"> </w:t>
      </w:r>
      <w:r w:rsidR="00D07787">
        <w:t xml:space="preserve">funding </w:t>
      </w:r>
      <w:r>
        <w:t xml:space="preserve">is used to fund research that has the greatest </w:t>
      </w:r>
      <w:r w:rsidR="00D07787">
        <w:t>scientific possibility</w:t>
      </w:r>
      <w:r>
        <w:t xml:space="preserve"> of having an impact on the lives of children affected by Multiple Sulfatase Deficiency. Whenever possible, we will invest funds with the potential for not only a scientific return but also a commercial return, allowing us to optimise our limited resour</w:t>
      </w:r>
      <w:r w:rsidR="00527FA7">
        <w:t>ces</w:t>
      </w:r>
      <w:r w:rsidR="00152341">
        <w:t xml:space="preserve"> in</w:t>
      </w:r>
      <w:r>
        <w:t xml:space="preserve"> funding</w:t>
      </w:r>
      <w:r w:rsidR="00152341">
        <w:t xml:space="preserve"> future</w:t>
      </w:r>
      <w:r>
        <w:t xml:space="preserve"> research. </w:t>
      </w:r>
      <w:r w:rsidR="005F2302" w:rsidRPr="00FB3200">
        <w:t>Any return to us</w:t>
      </w:r>
      <w:r w:rsidR="00162782" w:rsidRPr="00FB3200">
        <w:t xml:space="preserve"> will</w:t>
      </w:r>
      <w:r w:rsidR="005F2302" w:rsidRPr="00FB3200">
        <w:t xml:space="preserve"> be reinvested to help further our goals.</w:t>
      </w:r>
      <w:r w:rsidR="001D7078">
        <w:t xml:space="preserve"> </w:t>
      </w:r>
      <w:r w:rsidR="001D7078" w:rsidRPr="001D7078">
        <w:rPr>
          <w:u w:val="single"/>
        </w:rPr>
        <w:t xml:space="preserve">The scientific return is the primary factor in every </w:t>
      </w:r>
      <w:r w:rsidR="00152341">
        <w:rPr>
          <w:u w:val="single"/>
        </w:rPr>
        <w:t xml:space="preserve">funding </w:t>
      </w:r>
      <w:r w:rsidR="001D7078" w:rsidRPr="001D7078">
        <w:rPr>
          <w:u w:val="single"/>
        </w:rPr>
        <w:t>decision</w:t>
      </w:r>
      <w:r w:rsidR="001D7078">
        <w:t>.</w:t>
      </w:r>
    </w:p>
    <w:p w14:paraId="22FCC84A" w14:textId="77777777" w:rsidR="00FF69C1" w:rsidRPr="00FF69C1" w:rsidRDefault="00FF69C1" w:rsidP="00972E84">
      <w:pPr>
        <w:rPr>
          <w:b/>
          <w:sz w:val="28"/>
          <w:szCs w:val="28"/>
        </w:rPr>
      </w:pPr>
      <w:r w:rsidRPr="00FF69C1">
        <w:rPr>
          <w:b/>
          <w:sz w:val="28"/>
          <w:szCs w:val="28"/>
        </w:rPr>
        <w:t>Review Process</w:t>
      </w:r>
    </w:p>
    <w:p w14:paraId="569C78E0" w14:textId="6949F5E2" w:rsidR="00FF69C1" w:rsidRDefault="00FF69C1" w:rsidP="00FF69C1">
      <w:r w:rsidRPr="00FF69C1">
        <w:t>MSD Action Foundation</w:t>
      </w:r>
      <w:r w:rsidR="001D7078">
        <w:t xml:space="preserve"> has</w:t>
      </w:r>
      <w:r w:rsidRPr="00FF69C1">
        <w:t xml:space="preserve"> a competitive research grant application program. </w:t>
      </w:r>
      <w:r w:rsidR="003E632F">
        <w:t xml:space="preserve">Shortly outlined, </w:t>
      </w:r>
      <w:r>
        <w:t xml:space="preserve">Expressions of interest </w:t>
      </w:r>
      <w:r w:rsidR="003E632F">
        <w:t xml:space="preserve">proposals </w:t>
      </w:r>
      <w:r>
        <w:t>will be</w:t>
      </w:r>
      <w:r w:rsidR="001D7078">
        <w:t xml:space="preserve"> </w:t>
      </w:r>
      <w:r>
        <w:t xml:space="preserve">reviewed by </w:t>
      </w:r>
      <w:r w:rsidR="004E0105">
        <w:t xml:space="preserve">either </w:t>
      </w:r>
      <w:r>
        <w:t>our Scientific Advisory Board (SAB)</w:t>
      </w:r>
      <w:r w:rsidR="003E632F">
        <w:t xml:space="preserve"> or </w:t>
      </w:r>
      <w:r w:rsidR="00527FA7">
        <w:t>peer reviewers that we nominate</w:t>
      </w:r>
      <w:r>
        <w:t xml:space="preserve">. </w:t>
      </w:r>
      <w:r w:rsidR="001307CA">
        <w:t>Our Boards of Directors (BOD)</w:t>
      </w:r>
      <w:r>
        <w:t xml:space="preserve"> will shortlist projects subject to available funding and alignment with our o</w:t>
      </w:r>
      <w:r w:rsidR="001D7078">
        <w:t>bjectives and priorities.</w:t>
      </w:r>
      <w:r w:rsidR="001307CA">
        <w:t xml:space="preserve"> Our BOD will be guided by scientific reviews. </w:t>
      </w:r>
      <w:r w:rsidR="001D7078">
        <w:t xml:space="preserve"> </w:t>
      </w:r>
      <w:r>
        <w:t>Principal Investigator</w:t>
      </w:r>
      <w:r w:rsidR="005F2302">
        <w:t xml:space="preserve">s for short-listed projects </w:t>
      </w:r>
      <w:r w:rsidR="005F2302" w:rsidRPr="00FB3200">
        <w:t>may</w:t>
      </w:r>
      <w:r w:rsidR="001D7078">
        <w:t xml:space="preserve"> be invited to complete a full application.  Full application forms</w:t>
      </w:r>
      <w:r>
        <w:t xml:space="preserve"> will subsequently be reviewed by our </w:t>
      </w:r>
      <w:r w:rsidRPr="001D7078">
        <w:rPr>
          <w:u w:val="single"/>
        </w:rPr>
        <w:t>Scientific Advisory Board</w:t>
      </w:r>
      <w:r>
        <w:t xml:space="preserve"> </w:t>
      </w:r>
      <w:r w:rsidR="001D7078">
        <w:t xml:space="preserve">or </w:t>
      </w:r>
      <w:r w:rsidR="001D7078" w:rsidRPr="001D7078">
        <w:rPr>
          <w:u w:val="single"/>
        </w:rPr>
        <w:t xml:space="preserve">by </w:t>
      </w:r>
      <w:r w:rsidR="001307CA">
        <w:rPr>
          <w:u w:val="single"/>
        </w:rPr>
        <w:t>‘</w:t>
      </w:r>
      <w:r w:rsidR="001D7078" w:rsidRPr="001D7078">
        <w:rPr>
          <w:u w:val="single"/>
        </w:rPr>
        <w:t>international peer review</w:t>
      </w:r>
      <w:r w:rsidR="001307CA">
        <w:rPr>
          <w:u w:val="single"/>
        </w:rPr>
        <w:t>’</w:t>
      </w:r>
      <w:r w:rsidR="001D7078">
        <w:t xml:space="preserve"> depending on the proposal and the grant call.</w:t>
      </w:r>
      <w:r w:rsidR="001307CA">
        <w:t xml:space="preserve"> </w:t>
      </w:r>
    </w:p>
    <w:p w14:paraId="71569909" w14:textId="55991649" w:rsidR="00972E84" w:rsidRPr="00972E84" w:rsidRDefault="00D07787" w:rsidP="00972E84">
      <w:pPr>
        <w:rPr>
          <w:u w:val="single"/>
        </w:rPr>
      </w:pPr>
      <w:r>
        <w:rPr>
          <w:u w:val="single"/>
        </w:rPr>
        <w:t>R</w:t>
      </w:r>
      <w:r w:rsidR="00972E84" w:rsidRPr="00972E84">
        <w:rPr>
          <w:u w:val="single"/>
        </w:rPr>
        <w:t xml:space="preserve">eview </w:t>
      </w:r>
      <w:r w:rsidR="002E186F">
        <w:rPr>
          <w:u w:val="single"/>
        </w:rPr>
        <w:t>b</w:t>
      </w:r>
      <w:r w:rsidR="00AB49E3">
        <w:rPr>
          <w:u w:val="single"/>
        </w:rPr>
        <w:t xml:space="preserve">y our </w:t>
      </w:r>
      <w:r w:rsidR="001307CA">
        <w:rPr>
          <w:u w:val="single"/>
        </w:rPr>
        <w:t>‘</w:t>
      </w:r>
      <w:r w:rsidR="00AB49E3">
        <w:rPr>
          <w:u w:val="single"/>
        </w:rPr>
        <w:t>Scientific Advisory Board</w:t>
      </w:r>
      <w:r w:rsidR="001307CA">
        <w:rPr>
          <w:u w:val="single"/>
        </w:rPr>
        <w:t>’</w:t>
      </w:r>
      <w:r w:rsidR="00AB49E3">
        <w:rPr>
          <w:u w:val="single"/>
        </w:rPr>
        <w:t xml:space="preserve"> </w:t>
      </w:r>
      <w:r w:rsidR="00527FA7">
        <w:rPr>
          <w:u w:val="single"/>
        </w:rPr>
        <w:t xml:space="preserve">or </w:t>
      </w:r>
      <w:r w:rsidR="001307CA">
        <w:rPr>
          <w:u w:val="single"/>
        </w:rPr>
        <w:t xml:space="preserve">‘international </w:t>
      </w:r>
      <w:r w:rsidR="00527FA7">
        <w:rPr>
          <w:u w:val="single"/>
        </w:rPr>
        <w:t>peer reviewers</w:t>
      </w:r>
      <w:r w:rsidR="001307CA">
        <w:rPr>
          <w:u w:val="single"/>
        </w:rPr>
        <w:t>’</w:t>
      </w:r>
      <w:r w:rsidR="00527FA7">
        <w:rPr>
          <w:u w:val="single"/>
        </w:rPr>
        <w:t xml:space="preserve"> </w:t>
      </w:r>
      <w:r w:rsidR="00AB49E3" w:rsidRPr="00FB3200">
        <w:rPr>
          <w:u w:val="single"/>
        </w:rPr>
        <w:t>will help us to ensure</w:t>
      </w:r>
      <w:r w:rsidR="00972E84" w:rsidRPr="00FB3200">
        <w:rPr>
          <w:u w:val="single"/>
        </w:rPr>
        <w:t xml:space="preserve"> that the research is:</w:t>
      </w:r>
      <w:r w:rsidR="00972E84" w:rsidRPr="00972E84">
        <w:rPr>
          <w:u w:val="single"/>
        </w:rPr>
        <w:t xml:space="preserve">  </w:t>
      </w:r>
    </w:p>
    <w:p w14:paraId="2239E0FD" w14:textId="77777777" w:rsidR="00972E84" w:rsidRDefault="00972E84" w:rsidP="00972E84">
      <w:pPr>
        <w:spacing w:after="0"/>
      </w:pPr>
      <w:r>
        <w:t xml:space="preserve">• Scientifically valid, relevant and significant </w:t>
      </w:r>
    </w:p>
    <w:p w14:paraId="217900FC" w14:textId="77777777" w:rsidR="00972E84" w:rsidRDefault="00972E84" w:rsidP="00972E84">
      <w:pPr>
        <w:spacing w:after="0"/>
      </w:pPr>
      <w:r>
        <w:t xml:space="preserve">• Timely and achievable </w:t>
      </w:r>
    </w:p>
    <w:p w14:paraId="3A278A6E" w14:textId="77777777" w:rsidR="00972E84" w:rsidRDefault="00972E84" w:rsidP="00972E84">
      <w:pPr>
        <w:spacing w:after="0"/>
      </w:pPr>
      <w:r>
        <w:t>• Not duplicating other work</w:t>
      </w:r>
    </w:p>
    <w:p w14:paraId="19F6715C" w14:textId="77777777" w:rsidR="00972E84" w:rsidRDefault="00972E84" w:rsidP="00972E84">
      <w:pPr>
        <w:spacing w:after="0"/>
      </w:pPr>
      <w:r>
        <w:t>• Using appropriate methodologies</w:t>
      </w:r>
    </w:p>
    <w:p w14:paraId="1E679045" w14:textId="77777777" w:rsidR="00972E84" w:rsidRDefault="00972E84" w:rsidP="00972E84">
      <w:pPr>
        <w:spacing w:after="0"/>
      </w:pPr>
      <w:r>
        <w:t>• Carried out by researchers with the right skills and facilities</w:t>
      </w:r>
    </w:p>
    <w:p w14:paraId="7F677F35" w14:textId="4C44BA08" w:rsidR="00527FA7" w:rsidRDefault="00527FA7" w:rsidP="00527FA7">
      <w:pPr>
        <w:spacing w:after="0"/>
      </w:pPr>
      <w:r>
        <w:t>• Providing value for money</w:t>
      </w:r>
    </w:p>
    <w:p w14:paraId="58538DE3" w14:textId="03A1B441" w:rsidR="00527FA7" w:rsidRDefault="00527FA7" w:rsidP="00527FA7">
      <w:pPr>
        <w:spacing w:after="0"/>
      </w:pPr>
      <w:r w:rsidRPr="00527FA7">
        <w:t>•</w:t>
      </w:r>
      <w:r>
        <w:t xml:space="preserve"> Likely to improve research knowledge on MSD that may result in treatments translating to clinic.</w:t>
      </w:r>
    </w:p>
    <w:p w14:paraId="6FCEDF8C" w14:textId="77777777" w:rsidR="009637DD" w:rsidRDefault="009637DD" w:rsidP="00527FA7">
      <w:pPr>
        <w:spacing w:after="0"/>
      </w:pPr>
    </w:p>
    <w:p w14:paraId="6E62F96A" w14:textId="77777777" w:rsidR="009637DD" w:rsidRDefault="009637DD" w:rsidP="00527FA7">
      <w:pPr>
        <w:spacing w:after="0"/>
      </w:pPr>
    </w:p>
    <w:p w14:paraId="23E9C92B" w14:textId="77777777" w:rsidR="00A9522C" w:rsidRDefault="00A9522C" w:rsidP="00972E84">
      <w:pPr>
        <w:spacing w:after="0"/>
      </w:pPr>
    </w:p>
    <w:sectPr w:rsidR="00A952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9514D"/>
    <w:multiLevelType w:val="hybridMultilevel"/>
    <w:tmpl w:val="89D63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587105"/>
    <w:multiLevelType w:val="hybridMultilevel"/>
    <w:tmpl w:val="3CAAC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3541C5"/>
    <w:multiLevelType w:val="hybridMultilevel"/>
    <w:tmpl w:val="2C66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E0513F"/>
    <w:multiLevelType w:val="hybridMultilevel"/>
    <w:tmpl w:val="DB06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B022DD"/>
    <w:multiLevelType w:val="hybridMultilevel"/>
    <w:tmpl w:val="8834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A8F"/>
    <w:rsid w:val="00024778"/>
    <w:rsid w:val="00090280"/>
    <w:rsid w:val="000B11BB"/>
    <w:rsid w:val="000B3822"/>
    <w:rsid w:val="000D159A"/>
    <w:rsid w:val="000F0AE1"/>
    <w:rsid w:val="001307CA"/>
    <w:rsid w:val="00152341"/>
    <w:rsid w:val="00162782"/>
    <w:rsid w:val="00187036"/>
    <w:rsid w:val="001D7078"/>
    <w:rsid w:val="00257AC5"/>
    <w:rsid w:val="002E186F"/>
    <w:rsid w:val="0031650A"/>
    <w:rsid w:val="003A7A8F"/>
    <w:rsid w:val="003E632F"/>
    <w:rsid w:val="00426024"/>
    <w:rsid w:val="00454C23"/>
    <w:rsid w:val="0046310C"/>
    <w:rsid w:val="004E0105"/>
    <w:rsid w:val="00525CCB"/>
    <w:rsid w:val="00527FA7"/>
    <w:rsid w:val="0057068F"/>
    <w:rsid w:val="005758FA"/>
    <w:rsid w:val="005B4BC2"/>
    <w:rsid w:val="005F2302"/>
    <w:rsid w:val="0064501B"/>
    <w:rsid w:val="00693ACF"/>
    <w:rsid w:val="00723D1A"/>
    <w:rsid w:val="00770CDC"/>
    <w:rsid w:val="007A0626"/>
    <w:rsid w:val="007C7CDD"/>
    <w:rsid w:val="007E542F"/>
    <w:rsid w:val="00825925"/>
    <w:rsid w:val="00836305"/>
    <w:rsid w:val="00842A1A"/>
    <w:rsid w:val="0087433F"/>
    <w:rsid w:val="009637DD"/>
    <w:rsid w:val="00972E84"/>
    <w:rsid w:val="009D203B"/>
    <w:rsid w:val="00A201C2"/>
    <w:rsid w:val="00A9522C"/>
    <w:rsid w:val="00AB49E3"/>
    <w:rsid w:val="00BA621C"/>
    <w:rsid w:val="00C31AA5"/>
    <w:rsid w:val="00C3286C"/>
    <w:rsid w:val="00CD2DEF"/>
    <w:rsid w:val="00D07787"/>
    <w:rsid w:val="00D37272"/>
    <w:rsid w:val="00D76985"/>
    <w:rsid w:val="00E20508"/>
    <w:rsid w:val="00FB3200"/>
    <w:rsid w:val="00FF69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0785A3"/>
  <w15:docId w15:val="{13BABFD0-58E9-4D30-8916-A09C9DF6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A8F"/>
    <w:pPr>
      <w:ind w:left="720"/>
      <w:contextualSpacing/>
    </w:pPr>
  </w:style>
  <w:style w:type="table" w:styleId="TableGrid">
    <w:name w:val="Table Grid"/>
    <w:basedOn w:val="TableNormal"/>
    <w:uiPriority w:val="39"/>
    <w:rsid w:val="00CD2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finglas</dc:creator>
  <cp:keywords/>
  <dc:description/>
  <cp:lastModifiedBy>alan finglas</cp:lastModifiedBy>
  <cp:revision>29</cp:revision>
  <dcterms:created xsi:type="dcterms:W3CDTF">2017-06-03T02:09:00Z</dcterms:created>
  <dcterms:modified xsi:type="dcterms:W3CDTF">2021-11-07T23:39:00Z</dcterms:modified>
</cp:coreProperties>
</file>